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Fifth Sunday of Lent  A  2023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In this gospel we see Jesus at his most human and his most divine. He loved Lazarus and his sisters and wept with grief at Lazarus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death. But he brought Lazarus back from death in a clear pre-echo of his own rising from the dead. God is fully at work here.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Before Jesus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trail and death - in what we call the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agony in the garden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- Our Lord again shows his deeply human nature - he is full of fear and dread of what is to come. He knows, as God, that this is his essential role. He is able to say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thy will be done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We take great heart from this as we battle our way through life. If we are honest we look at ourselves and know our weaknesses. I pity the person who believes they haven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 got any. But we also have our grace filled selves. We don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 simply give way to every selfish feeling; to every emotion. When we meet serious challenges - like the sickness and death of someone very dear - we go through grief, with all its complex twists and turns, and at the same, in faith, see them at peace - beyond the cares and struggles they have known in life.</w:t>
      </w:r>
    </w:p>
    <w:p>
      <w:pPr>
        <w:pStyle w:val="Body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We are getting close to our long meditation on suffering, death and new life - we are close to Holy Week. We don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t think of it as a simply a way of looking back. But rather all our own experience; the experiences of the world; are caught up in this most profound drama. In going through the days with Our Lord we grow; we are consoled; our faith is given a transfusion - and we experience new hope and joy.</w:t>
      </w:r>
    </w:p>
    <w:p>
      <w:pPr>
        <w:pStyle w:val="Body"/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Lazarus stumbled clumsily from his tomb. Jesus said:- 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‘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Unbind him, let him go free</w:t>
      </w:r>
      <w:r>
        <w:rPr>
          <w:rFonts w:ascii="Bradley Hand ITC TT-Bold" w:hAnsi="Bradley Hand ITC TT-Bold" w:hint="default"/>
          <w:sz w:val="28"/>
          <w:szCs w:val="28"/>
          <w:rtl w:val="0"/>
          <w:lang w:val="en-US"/>
        </w:rPr>
        <w:t>’</w:t>
      </w:r>
      <w:r>
        <w:rPr>
          <w:rFonts w:ascii="Bradley Hand ITC TT-Bold" w:hAnsi="Bradley Hand ITC TT-Bold"/>
          <w:sz w:val="28"/>
          <w:szCs w:val="28"/>
          <w:rtl w:val="0"/>
          <w:lang w:val="en-US"/>
        </w:rPr>
        <w:t>. He came to undo everything that binds us. He came to give us true freedom.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